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卢振刚</w:t>
      </w:r>
      <w:r>
        <w:rPr>
          <w:rFonts w:hint="eastAsia"/>
          <w:sz w:val="15"/>
          <w:szCs w:val="15"/>
          <w:highlight w:val="none"/>
        </w:rPr>
        <w:t>，</w:t>
      </w:r>
      <w:r>
        <w:rPr>
          <w:rFonts w:hint="eastAsia"/>
          <w:sz w:val="15"/>
          <w:szCs w:val="15"/>
          <w:highlight w:val="none"/>
          <w:lang w:val="en-US" w:eastAsia="zh-CN"/>
        </w:rPr>
        <w:t>130131198908200631</w:t>
      </w:r>
      <w:r>
        <w:rPr>
          <w:rFonts w:hint="eastAsia"/>
          <w:sz w:val="15"/>
          <w:szCs w:val="15"/>
        </w:rPr>
        <w:t xml:space="preserve">  </w:t>
      </w:r>
      <w:r>
        <w:rPr>
          <w:rFonts w:hint="eastAsia"/>
          <w:sz w:val="15"/>
          <w:szCs w:val="15"/>
          <w:lang w:val="en-US" w:eastAsia="zh-CN"/>
        </w:rPr>
        <w:t>冀A2506W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