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张玉霞</w:t>
      </w:r>
      <w:r>
        <w:rPr>
          <w:rFonts w:hint="eastAsia"/>
          <w:sz w:val="15"/>
          <w:szCs w:val="15"/>
          <w:highlight w:val="none"/>
        </w:rPr>
        <w:t>，</w:t>
      </w:r>
      <w:r>
        <w:rPr>
          <w:rFonts w:hint="eastAsia"/>
          <w:sz w:val="15"/>
          <w:szCs w:val="15"/>
          <w:highlight w:val="none"/>
          <w:lang w:val="en-US" w:eastAsia="zh-CN"/>
        </w:rPr>
        <w:t>130131198906080920</w:t>
      </w:r>
      <w:r>
        <w:rPr>
          <w:rFonts w:hint="eastAsia"/>
          <w:sz w:val="15"/>
          <w:szCs w:val="15"/>
        </w:rPr>
        <w:t xml:space="preserve">  </w:t>
      </w:r>
      <w:r>
        <w:rPr>
          <w:rFonts w:hint="eastAsia"/>
          <w:sz w:val="15"/>
          <w:szCs w:val="15"/>
          <w:lang w:val="en-US" w:eastAsia="zh-CN"/>
        </w:rPr>
        <w:t>冀ALC842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