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刘丽</w:t>
      </w:r>
      <w:r>
        <w:rPr>
          <w:rFonts w:hint="eastAsia"/>
          <w:sz w:val="15"/>
          <w:szCs w:val="15"/>
          <w:highlight w:val="none"/>
        </w:rPr>
        <w:t>，</w:t>
      </w:r>
      <w:r>
        <w:rPr>
          <w:rFonts w:hint="eastAsia"/>
          <w:sz w:val="15"/>
          <w:szCs w:val="15"/>
          <w:highlight w:val="none"/>
          <w:lang w:val="en-US" w:eastAsia="zh-CN"/>
        </w:rPr>
        <w:t>130131198812261229</w:t>
      </w:r>
      <w:r>
        <w:rPr>
          <w:rFonts w:hint="eastAsia"/>
          <w:sz w:val="15"/>
          <w:szCs w:val="15"/>
        </w:rPr>
        <w:t xml:space="preserve">  </w:t>
      </w:r>
      <w:r>
        <w:rPr>
          <w:rFonts w:hint="eastAsia"/>
          <w:sz w:val="15"/>
          <w:szCs w:val="15"/>
          <w:lang w:val="en-US" w:eastAsia="zh-CN"/>
        </w:rPr>
        <w:t>沪A12139A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