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史文杰</w:t>
      </w:r>
      <w:r>
        <w:rPr>
          <w:rFonts w:hint="eastAsia"/>
          <w:sz w:val="15"/>
          <w:szCs w:val="15"/>
          <w:highlight w:val="none"/>
        </w:rPr>
        <w:t>，</w:t>
      </w:r>
      <w:r>
        <w:rPr>
          <w:rFonts w:hint="eastAsia"/>
          <w:sz w:val="15"/>
          <w:szCs w:val="15"/>
          <w:highlight w:val="none"/>
          <w:lang w:val="en-US" w:eastAsia="zh-CN"/>
        </w:rPr>
        <w:t>13013119881216121X</w:t>
      </w:r>
      <w:r>
        <w:rPr>
          <w:rFonts w:hint="eastAsia"/>
          <w:sz w:val="15"/>
          <w:szCs w:val="15"/>
        </w:rPr>
        <w:t xml:space="preserve">  </w:t>
      </w:r>
      <w:r>
        <w:rPr>
          <w:rFonts w:hint="eastAsia"/>
          <w:sz w:val="15"/>
          <w:szCs w:val="15"/>
          <w:lang w:val="en-US" w:eastAsia="zh-CN"/>
        </w:rPr>
        <w:t>沪A70979D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