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崔佳佳</w:t>
      </w:r>
      <w:r>
        <w:rPr>
          <w:rFonts w:hint="eastAsia"/>
          <w:sz w:val="15"/>
          <w:szCs w:val="15"/>
          <w:highlight w:val="none"/>
        </w:rPr>
        <w:t>，</w:t>
      </w:r>
      <w:r>
        <w:rPr>
          <w:rFonts w:hint="eastAsia"/>
          <w:sz w:val="15"/>
          <w:szCs w:val="15"/>
          <w:highlight w:val="none"/>
          <w:lang w:val="en-US" w:eastAsia="zh-CN"/>
        </w:rPr>
        <w:t>130131198811210032</w:t>
      </w:r>
      <w:r>
        <w:rPr>
          <w:rFonts w:hint="eastAsia"/>
          <w:sz w:val="15"/>
          <w:szCs w:val="15"/>
        </w:rPr>
        <w:t xml:space="preserve">  </w:t>
      </w:r>
      <w:r>
        <w:rPr>
          <w:rFonts w:hint="eastAsia"/>
          <w:sz w:val="15"/>
          <w:szCs w:val="15"/>
          <w:lang w:val="en-US" w:eastAsia="zh-CN"/>
        </w:rPr>
        <w:t>冀A01587D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