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贾会刚</w:t>
      </w:r>
      <w:r>
        <w:rPr>
          <w:rFonts w:hint="eastAsia"/>
          <w:sz w:val="15"/>
          <w:szCs w:val="15"/>
          <w:highlight w:val="none"/>
        </w:rPr>
        <w:t>，</w:t>
      </w:r>
      <w:r>
        <w:rPr>
          <w:rFonts w:hint="eastAsia"/>
          <w:sz w:val="15"/>
          <w:szCs w:val="15"/>
          <w:highlight w:val="none"/>
          <w:lang w:val="en-US" w:eastAsia="zh-CN"/>
        </w:rPr>
        <w:t>130131198709094557</w:t>
      </w:r>
      <w:r>
        <w:rPr>
          <w:rFonts w:hint="eastAsia"/>
          <w:sz w:val="15"/>
          <w:szCs w:val="15"/>
        </w:rPr>
        <w:t xml:space="preserve">  </w:t>
      </w:r>
      <w:r>
        <w:rPr>
          <w:rFonts w:hint="eastAsia"/>
          <w:sz w:val="15"/>
          <w:szCs w:val="15"/>
          <w:lang w:val="en-US" w:eastAsia="zh-CN"/>
        </w:rPr>
        <w:t>冀A56306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