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康二科</w:t>
      </w:r>
      <w:r>
        <w:rPr>
          <w:rFonts w:hint="eastAsia"/>
          <w:sz w:val="15"/>
          <w:szCs w:val="15"/>
          <w:highlight w:val="none"/>
        </w:rPr>
        <w:t>，</w:t>
      </w:r>
      <w:r>
        <w:rPr>
          <w:rFonts w:hint="eastAsia"/>
          <w:sz w:val="15"/>
          <w:szCs w:val="15"/>
          <w:highlight w:val="none"/>
          <w:lang w:val="en-US" w:eastAsia="zh-CN"/>
        </w:rPr>
        <w:t>130131198707164216</w:t>
      </w:r>
      <w:r>
        <w:rPr>
          <w:rFonts w:hint="eastAsia"/>
          <w:sz w:val="15"/>
          <w:szCs w:val="15"/>
        </w:rPr>
        <w:t xml:space="preserve">  </w:t>
      </w:r>
      <w:r>
        <w:rPr>
          <w:rFonts w:hint="eastAsia"/>
          <w:sz w:val="15"/>
          <w:szCs w:val="15"/>
          <w:lang w:val="en-US" w:eastAsia="zh-CN"/>
        </w:rPr>
        <w:t>冀A368B6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