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马国刚</w:t>
      </w:r>
      <w:r>
        <w:rPr>
          <w:rFonts w:hint="eastAsia"/>
          <w:sz w:val="15"/>
          <w:szCs w:val="15"/>
          <w:highlight w:val="none"/>
        </w:rPr>
        <w:t>，</w:t>
      </w:r>
      <w:r>
        <w:rPr>
          <w:rFonts w:hint="eastAsia"/>
          <w:sz w:val="15"/>
          <w:szCs w:val="15"/>
          <w:highlight w:val="none"/>
          <w:lang w:val="en-US" w:eastAsia="zh-CN"/>
        </w:rPr>
        <w:t>130131198609283916</w:t>
      </w:r>
      <w:r>
        <w:rPr>
          <w:rFonts w:hint="eastAsia"/>
          <w:sz w:val="15"/>
          <w:szCs w:val="15"/>
        </w:rPr>
        <w:t xml:space="preserve">  </w:t>
      </w:r>
      <w:r>
        <w:rPr>
          <w:rFonts w:hint="eastAsia"/>
          <w:sz w:val="15"/>
          <w:szCs w:val="15"/>
          <w:lang w:val="en-US" w:eastAsia="zh-CN"/>
        </w:rPr>
        <w:t>冀A36902D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