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郑雪娟</w:t>
      </w:r>
      <w:r>
        <w:rPr>
          <w:rFonts w:hint="eastAsia"/>
          <w:sz w:val="15"/>
          <w:szCs w:val="15"/>
          <w:highlight w:val="none"/>
        </w:rPr>
        <w:t>，</w:t>
      </w:r>
      <w:r>
        <w:rPr>
          <w:rFonts w:hint="eastAsia"/>
          <w:sz w:val="15"/>
          <w:szCs w:val="15"/>
          <w:highlight w:val="none"/>
          <w:lang w:val="en-US" w:eastAsia="zh-CN"/>
        </w:rPr>
        <w:t>13013119860802332X</w:t>
      </w:r>
      <w:r>
        <w:rPr>
          <w:rFonts w:hint="eastAsia"/>
          <w:sz w:val="15"/>
          <w:szCs w:val="15"/>
        </w:rPr>
        <w:t xml:space="preserve">  </w:t>
      </w:r>
      <w:r>
        <w:rPr>
          <w:rFonts w:hint="eastAsia"/>
          <w:sz w:val="15"/>
          <w:szCs w:val="15"/>
          <w:lang w:val="en-US" w:eastAsia="zh-CN"/>
        </w:rPr>
        <w:t>冀A047Z9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