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齐晓丽</w:t>
      </w:r>
      <w:r>
        <w:rPr>
          <w:rFonts w:hint="eastAsia"/>
          <w:sz w:val="15"/>
          <w:szCs w:val="15"/>
          <w:highlight w:val="none"/>
        </w:rPr>
        <w:t>，</w:t>
      </w:r>
      <w:r>
        <w:rPr>
          <w:rFonts w:hint="eastAsia"/>
          <w:sz w:val="15"/>
          <w:szCs w:val="15"/>
          <w:highlight w:val="none"/>
          <w:lang w:val="en-US" w:eastAsia="zh-CN"/>
        </w:rPr>
        <w:t>130131198507054522</w:t>
      </w:r>
      <w:r>
        <w:rPr>
          <w:rFonts w:hint="eastAsia"/>
          <w:sz w:val="15"/>
          <w:szCs w:val="15"/>
        </w:rPr>
        <w:t xml:space="preserve">  </w:t>
      </w:r>
      <w:r>
        <w:rPr>
          <w:rFonts w:hint="eastAsia"/>
          <w:sz w:val="15"/>
          <w:szCs w:val="15"/>
          <w:lang w:val="en-US" w:eastAsia="zh-CN"/>
        </w:rPr>
        <w:t>冀AN2349</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