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李军建</w:t>
      </w:r>
      <w:r>
        <w:rPr>
          <w:rFonts w:hint="eastAsia"/>
          <w:sz w:val="15"/>
          <w:szCs w:val="15"/>
          <w:highlight w:val="none"/>
        </w:rPr>
        <w:t>，</w:t>
      </w:r>
      <w:r>
        <w:rPr>
          <w:rFonts w:hint="eastAsia"/>
          <w:sz w:val="15"/>
          <w:szCs w:val="15"/>
          <w:highlight w:val="none"/>
          <w:lang w:val="en-US" w:eastAsia="zh-CN"/>
        </w:rPr>
        <w:t>130131198503240619</w:t>
      </w:r>
      <w:r>
        <w:rPr>
          <w:rFonts w:hint="eastAsia"/>
          <w:sz w:val="15"/>
          <w:szCs w:val="15"/>
        </w:rPr>
        <w:t xml:space="preserve">  </w:t>
      </w:r>
      <w:r>
        <w:rPr>
          <w:rFonts w:hint="eastAsia"/>
          <w:sz w:val="15"/>
          <w:szCs w:val="15"/>
          <w:lang w:val="en-US" w:eastAsia="zh-CN"/>
        </w:rPr>
        <w:t>冀AX1173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