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朱丽军</w:t>
      </w:r>
      <w:r>
        <w:rPr>
          <w:rFonts w:hint="eastAsia"/>
          <w:sz w:val="15"/>
          <w:szCs w:val="15"/>
          <w:highlight w:val="none"/>
        </w:rPr>
        <w:t>，</w:t>
      </w:r>
      <w:r>
        <w:rPr>
          <w:rFonts w:hint="eastAsia"/>
          <w:sz w:val="15"/>
          <w:szCs w:val="15"/>
          <w:highlight w:val="none"/>
          <w:lang w:val="en-US" w:eastAsia="zh-CN"/>
        </w:rPr>
        <w:t>130131198503211535</w:t>
      </w:r>
      <w:r>
        <w:rPr>
          <w:rFonts w:hint="eastAsia"/>
          <w:sz w:val="15"/>
          <w:szCs w:val="15"/>
        </w:rPr>
        <w:t xml:space="preserve">  </w:t>
      </w:r>
      <w:r>
        <w:rPr>
          <w:rFonts w:hint="eastAsia"/>
          <w:sz w:val="15"/>
          <w:szCs w:val="15"/>
          <w:lang w:val="en-US" w:eastAsia="zh-CN"/>
        </w:rPr>
        <w:t>冀D6H777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