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韩丽朋</w:t>
      </w:r>
      <w:r>
        <w:rPr>
          <w:rFonts w:hint="eastAsia"/>
          <w:sz w:val="15"/>
          <w:szCs w:val="15"/>
          <w:highlight w:val="none"/>
        </w:rPr>
        <w:t>，</w:t>
      </w:r>
      <w:r>
        <w:rPr>
          <w:rFonts w:hint="eastAsia"/>
          <w:sz w:val="15"/>
          <w:szCs w:val="15"/>
          <w:highlight w:val="none"/>
          <w:lang w:val="en-US" w:eastAsia="zh-CN"/>
        </w:rPr>
        <w:t>130131198501033659</w:t>
      </w:r>
      <w:r>
        <w:rPr>
          <w:rFonts w:hint="eastAsia"/>
          <w:sz w:val="15"/>
          <w:szCs w:val="15"/>
        </w:rPr>
        <w:t xml:space="preserve">  </w:t>
      </w:r>
      <w:r>
        <w:rPr>
          <w:rFonts w:hint="eastAsia"/>
          <w:sz w:val="15"/>
          <w:szCs w:val="15"/>
          <w:lang w:val="en-US" w:eastAsia="zh-CN"/>
        </w:rPr>
        <w:t>冀AQ6829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