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曹二川</w:t>
      </w:r>
      <w:r>
        <w:rPr>
          <w:rFonts w:hint="eastAsia"/>
          <w:sz w:val="15"/>
          <w:szCs w:val="15"/>
          <w:highlight w:val="none"/>
        </w:rPr>
        <w:t>，</w:t>
      </w:r>
      <w:r>
        <w:rPr>
          <w:rFonts w:hint="eastAsia"/>
          <w:sz w:val="15"/>
          <w:szCs w:val="15"/>
          <w:highlight w:val="none"/>
          <w:lang w:val="en-US" w:eastAsia="zh-CN"/>
        </w:rPr>
        <w:t>130131198411211538</w:t>
      </w:r>
      <w:r>
        <w:rPr>
          <w:rFonts w:hint="eastAsia"/>
          <w:sz w:val="15"/>
          <w:szCs w:val="15"/>
        </w:rPr>
        <w:t xml:space="preserve">  </w:t>
      </w:r>
      <w:r>
        <w:rPr>
          <w:rFonts w:hint="eastAsia"/>
          <w:sz w:val="15"/>
          <w:szCs w:val="15"/>
          <w:lang w:val="en-US" w:eastAsia="zh-CN"/>
        </w:rPr>
        <w:t>冀A4738W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