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唐丽花</w:t>
      </w:r>
      <w:r>
        <w:rPr>
          <w:rFonts w:hint="eastAsia"/>
          <w:sz w:val="15"/>
          <w:szCs w:val="15"/>
          <w:highlight w:val="none"/>
        </w:rPr>
        <w:t>，</w:t>
      </w:r>
      <w:r>
        <w:rPr>
          <w:rFonts w:hint="eastAsia"/>
          <w:sz w:val="15"/>
          <w:szCs w:val="15"/>
          <w:highlight w:val="none"/>
          <w:lang w:val="en-US" w:eastAsia="zh-CN"/>
        </w:rPr>
        <w:t>130131198410173023</w:t>
      </w:r>
      <w:r>
        <w:rPr>
          <w:rFonts w:hint="eastAsia"/>
          <w:sz w:val="15"/>
          <w:szCs w:val="15"/>
        </w:rPr>
        <w:t xml:space="preserve">  </w:t>
      </w:r>
      <w:r>
        <w:rPr>
          <w:rFonts w:hint="eastAsia"/>
          <w:sz w:val="15"/>
          <w:szCs w:val="15"/>
          <w:lang w:val="en-US" w:eastAsia="zh-CN"/>
        </w:rPr>
        <w:t>冀A89647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