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栗春霞</w:t>
      </w:r>
      <w:r>
        <w:rPr>
          <w:rFonts w:hint="eastAsia"/>
          <w:sz w:val="15"/>
          <w:szCs w:val="15"/>
          <w:highlight w:val="none"/>
        </w:rPr>
        <w:t>，</w:t>
      </w:r>
      <w:r>
        <w:rPr>
          <w:rFonts w:hint="eastAsia"/>
          <w:sz w:val="15"/>
          <w:szCs w:val="15"/>
          <w:highlight w:val="none"/>
          <w:lang w:val="en-US" w:eastAsia="zh-CN"/>
        </w:rPr>
        <w:t>130131198406281224</w:t>
      </w:r>
      <w:r>
        <w:rPr>
          <w:rFonts w:hint="eastAsia"/>
          <w:sz w:val="15"/>
          <w:szCs w:val="15"/>
        </w:rPr>
        <w:t xml:space="preserve">  </w:t>
      </w:r>
      <w:r>
        <w:rPr>
          <w:rFonts w:hint="eastAsia"/>
          <w:sz w:val="15"/>
          <w:szCs w:val="15"/>
          <w:lang w:val="en-US" w:eastAsia="zh-CN"/>
        </w:rPr>
        <w:t>冀A08350D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