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孙佳</w:t>
      </w:r>
      <w:r>
        <w:rPr>
          <w:rFonts w:hint="eastAsia"/>
          <w:sz w:val="15"/>
          <w:szCs w:val="15"/>
          <w:highlight w:val="none"/>
        </w:rPr>
        <w:t>，</w:t>
      </w:r>
      <w:r>
        <w:rPr>
          <w:rFonts w:hint="eastAsia"/>
          <w:sz w:val="15"/>
          <w:szCs w:val="15"/>
          <w:highlight w:val="none"/>
          <w:lang w:val="en-US" w:eastAsia="zh-CN"/>
        </w:rPr>
        <w:t>130131198312160034</w:t>
      </w:r>
      <w:r>
        <w:rPr>
          <w:rFonts w:hint="eastAsia"/>
          <w:sz w:val="15"/>
          <w:szCs w:val="15"/>
        </w:rPr>
        <w:t xml:space="preserve">  </w:t>
      </w:r>
      <w:r>
        <w:rPr>
          <w:rFonts w:hint="eastAsia"/>
          <w:sz w:val="15"/>
          <w:szCs w:val="15"/>
          <w:lang w:val="en-US" w:eastAsia="zh-CN"/>
        </w:rPr>
        <w:t>冀A56811</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