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封彦龙</w:t>
      </w:r>
      <w:r>
        <w:rPr>
          <w:rFonts w:hint="eastAsia"/>
          <w:sz w:val="15"/>
          <w:szCs w:val="15"/>
          <w:highlight w:val="none"/>
        </w:rPr>
        <w:t>，</w:t>
      </w:r>
      <w:r>
        <w:rPr>
          <w:rFonts w:hint="eastAsia"/>
          <w:sz w:val="15"/>
          <w:szCs w:val="15"/>
          <w:highlight w:val="none"/>
          <w:lang w:val="en-US" w:eastAsia="zh-CN"/>
        </w:rPr>
        <w:t>130131198311162417</w:t>
      </w:r>
      <w:r>
        <w:rPr>
          <w:rFonts w:hint="eastAsia"/>
          <w:sz w:val="15"/>
          <w:szCs w:val="15"/>
        </w:rPr>
        <w:t xml:space="preserve">  </w:t>
      </w:r>
      <w:r>
        <w:rPr>
          <w:rFonts w:hint="eastAsia"/>
          <w:sz w:val="15"/>
          <w:szCs w:val="15"/>
          <w:lang w:val="en-US" w:eastAsia="zh-CN"/>
        </w:rPr>
        <w:t>冀A038K4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