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盖彦彦</w:t>
      </w:r>
      <w:r>
        <w:rPr>
          <w:rFonts w:hint="eastAsia"/>
          <w:sz w:val="15"/>
          <w:szCs w:val="15"/>
          <w:highlight w:val="none"/>
        </w:rPr>
        <w:t>，</w:t>
      </w:r>
      <w:r>
        <w:rPr>
          <w:rFonts w:hint="eastAsia"/>
          <w:sz w:val="15"/>
          <w:szCs w:val="15"/>
          <w:highlight w:val="none"/>
          <w:lang w:val="en-US" w:eastAsia="zh-CN"/>
        </w:rPr>
        <w:t>130131198307200062</w:t>
      </w:r>
      <w:r>
        <w:rPr>
          <w:rFonts w:hint="eastAsia"/>
          <w:sz w:val="15"/>
          <w:szCs w:val="15"/>
        </w:rPr>
        <w:t xml:space="preserve">  </w:t>
      </w:r>
      <w:r>
        <w:rPr>
          <w:rFonts w:hint="eastAsia"/>
          <w:sz w:val="15"/>
          <w:szCs w:val="15"/>
          <w:lang w:val="en-US" w:eastAsia="zh-CN"/>
        </w:rPr>
        <w:t>冀A858AD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