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闫利波</w:t>
      </w:r>
      <w:r>
        <w:rPr>
          <w:rFonts w:hint="eastAsia"/>
          <w:sz w:val="15"/>
          <w:szCs w:val="15"/>
          <w:highlight w:val="none"/>
        </w:rPr>
        <w:t>，</w:t>
      </w:r>
      <w:r>
        <w:rPr>
          <w:rFonts w:hint="eastAsia"/>
          <w:sz w:val="15"/>
          <w:szCs w:val="15"/>
          <w:highlight w:val="none"/>
          <w:lang w:val="en-US" w:eastAsia="zh-CN"/>
        </w:rPr>
        <w:t>130131198303051557</w:t>
      </w:r>
      <w:r>
        <w:rPr>
          <w:rFonts w:hint="eastAsia"/>
          <w:sz w:val="15"/>
          <w:szCs w:val="15"/>
        </w:rPr>
        <w:t xml:space="preserve">  </w:t>
      </w:r>
      <w:r>
        <w:rPr>
          <w:rFonts w:hint="eastAsia"/>
          <w:sz w:val="15"/>
          <w:szCs w:val="15"/>
          <w:lang w:val="en-US" w:eastAsia="zh-CN"/>
        </w:rPr>
        <w:t>沪A39545D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