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张晓东</w:t>
      </w:r>
      <w:r>
        <w:rPr>
          <w:rFonts w:hint="eastAsia"/>
          <w:sz w:val="15"/>
          <w:szCs w:val="15"/>
          <w:highlight w:val="none"/>
        </w:rPr>
        <w:t>，</w:t>
      </w:r>
      <w:r>
        <w:rPr>
          <w:rFonts w:hint="eastAsia"/>
          <w:sz w:val="15"/>
          <w:szCs w:val="15"/>
          <w:highlight w:val="none"/>
          <w:lang w:val="en-US" w:eastAsia="zh-CN"/>
        </w:rPr>
        <w:t>130131198210225714</w:t>
      </w:r>
      <w:r>
        <w:rPr>
          <w:rFonts w:hint="eastAsia"/>
          <w:sz w:val="15"/>
          <w:szCs w:val="15"/>
        </w:rPr>
        <w:t xml:space="preserve">  </w:t>
      </w:r>
      <w:r>
        <w:rPr>
          <w:rFonts w:hint="eastAsia"/>
          <w:sz w:val="15"/>
          <w:szCs w:val="15"/>
          <w:lang w:val="en-US" w:eastAsia="zh-CN"/>
        </w:rPr>
        <w:t>冀AJK299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