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李会强</w:t>
      </w:r>
      <w:r>
        <w:rPr>
          <w:rFonts w:hint="eastAsia"/>
          <w:sz w:val="15"/>
          <w:szCs w:val="15"/>
          <w:highlight w:val="none"/>
        </w:rPr>
        <w:t>，</w:t>
      </w:r>
      <w:r>
        <w:rPr>
          <w:rFonts w:hint="eastAsia"/>
          <w:sz w:val="15"/>
          <w:szCs w:val="15"/>
          <w:highlight w:val="none"/>
          <w:lang w:val="en-US" w:eastAsia="zh-CN"/>
        </w:rPr>
        <w:t>130131198209064837</w:t>
      </w:r>
      <w:r>
        <w:rPr>
          <w:rFonts w:hint="eastAsia"/>
          <w:sz w:val="15"/>
          <w:szCs w:val="15"/>
        </w:rPr>
        <w:t xml:space="preserve">  </w:t>
      </w:r>
      <w:r>
        <w:rPr>
          <w:rFonts w:hint="eastAsia"/>
          <w:sz w:val="15"/>
          <w:szCs w:val="15"/>
          <w:lang w:val="en-US" w:eastAsia="zh-CN"/>
        </w:rPr>
        <w:t>冀A4862M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