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张明亮</w:t>
      </w:r>
      <w:r>
        <w:rPr>
          <w:rFonts w:hint="eastAsia"/>
          <w:sz w:val="15"/>
          <w:szCs w:val="15"/>
          <w:highlight w:val="none"/>
        </w:rPr>
        <w:t>，</w:t>
      </w:r>
      <w:r>
        <w:rPr>
          <w:rFonts w:hint="eastAsia"/>
          <w:sz w:val="15"/>
          <w:szCs w:val="15"/>
          <w:highlight w:val="none"/>
          <w:lang w:val="en-US" w:eastAsia="zh-CN"/>
        </w:rPr>
        <w:t>130131198102135412</w:t>
      </w:r>
      <w:r>
        <w:rPr>
          <w:rFonts w:hint="eastAsia"/>
          <w:sz w:val="15"/>
          <w:szCs w:val="15"/>
        </w:rPr>
        <w:t xml:space="preserve">  </w:t>
      </w:r>
      <w:r>
        <w:rPr>
          <w:rFonts w:hint="eastAsia"/>
          <w:sz w:val="15"/>
          <w:szCs w:val="15"/>
          <w:lang w:val="en-US" w:eastAsia="zh-CN"/>
        </w:rPr>
        <w:t>冀T05797D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