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杜文杰</w:t>
      </w:r>
      <w:r>
        <w:rPr>
          <w:rFonts w:hint="eastAsia"/>
          <w:sz w:val="15"/>
          <w:szCs w:val="15"/>
          <w:highlight w:val="none"/>
        </w:rPr>
        <w:t>，</w:t>
      </w:r>
      <w:r>
        <w:rPr>
          <w:rFonts w:hint="eastAsia"/>
          <w:sz w:val="15"/>
          <w:szCs w:val="15"/>
          <w:highlight w:val="none"/>
          <w:lang w:val="en-US" w:eastAsia="zh-CN"/>
        </w:rPr>
        <w:t>130128200604172119</w:t>
      </w:r>
      <w:r>
        <w:rPr>
          <w:rFonts w:hint="eastAsia"/>
          <w:sz w:val="15"/>
          <w:szCs w:val="15"/>
        </w:rPr>
        <w:t xml:space="preserve">  </w:t>
      </w:r>
      <w:r>
        <w:rPr>
          <w:rFonts w:hint="eastAsia"/>
          <w:sz w:val="15"/>
          <w:szCs w:val="15"/>
          <w:lang w:val="en-US" w:eastAsia="zh-CN"/>
        </w:rPr>
        <w:t>冀A06Q52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