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侯佳琪</w:t>
      </w:r>
      <w:r>
        <w:rPr>
          <w:rFonts w:hint="eastAsia"/>
          <w:sz w:val="15"/>
          <w:szCs w:val="15"/>
          <w:highlight w:val="none"/>
        </w:rPr>
        <w:t>，</w:t>
      </w:r>
      <w:r>
        <w:rPr>
          <w:rFonts w:hint="eastAsia"/>
          <w:sz w:val="15"/>
          <w:szCs w:val="15"/>
          <w:highlight w:val="none"/>
          <w:lang w:val="en-US" w:eastAsia="zh-CN"/>
        </w:rPr>
        <w:t>130126199306250029</w:t>
      </w:r>
      <w:r>
        <w:rPr>
          <w:rFonts w:hint="eastAsia"/>
          <w:sz w:val="15"/>
          <w:szCs w:val="15"/>
        </w:rPr>
        <w:t xml:space="preserve">  </w:t>
      </w:r>
      <w:r>
        <w:rPr>
          <w:rFonts w:hint="eastAsia"/>
          <w:sz w:val="15"/>
          <w:szCs w:val="15"/>
          <w:lang w:val="en-US" w:eastAsia="zh-CN"/>
        </w:rPr>
        <w:t>冀A35340D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