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王学路</w:t>
      </w:r>
      <w:r>
        <w:rPr>
          <w:rFonts w:hint="eastAsia"/>
          <w:sz w:val="15"/>
          <w:szCs w:val="15"/>
          <w:highlight w:val="none"/>
        </w:rPr>
        <w:t>，</w:t>
      </w:r>
      <w:r>
        <w:rPr>
          <w:rFonts w:hint="eastAsia"/>
          <w:sz w:val="15"/>
          <w:szCs w:val="15"/>
          <w:highlight w:val="none"/>
          <w:lang w:val="en-US" w:eastAsia="zh-CN"/>
        </w:rPr>
        <w:t>130126199110292729</w:t>
      </w:r>
      <w:r>
        <w:rPr>
          <w:rFonts w:hint="eastAsia"/>
          <w:sz w:val="15"/>
          <w:szCs w:val="15"/>
        </w:rPr>
        <w:t xml:space="preserve">  </w:t>
      </w:r>
      <w:r>
        <w:rPr>
          <w:rFonts w:hint="eastAsia"/>
          <w:sz w:val="15"/>
          <w:szCs w:val="15"/>
          <w:lang w:val="en-US" w:eastAsia="zh-CN"/>
        </w:rPr>
        <w:t>冀A42342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