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张振华</w:t>
      </w:r>
      <w:r>
        <w:rPr>
          <w:rFonts w:hint="eastAsia"/>
          <w:sz w:val="15"/>
          <w:szCs w:val="15"/>
          <w:highlight w:val="none"/>
        </w:rPr>
        <w:t>，</w:t>
      </w:r>
      <w:r>
        <w:rPr>
          <w:rFonts w:hint="eastAsia"/>
          <w:sz w:val="15"/>
          <w:szCs w:val="15"/>
          <w:highlight w:val="none"/>
          <w:lang w:val="en-US" w:eastAsia="zh-CN"/>
        </w:rPr>
        <w:t>130126198907021518</w:t>
      </w:r>
      <w:r>
        <w:rPr>
          <w:rFonts w:hint="eastAsia"/>
          <w:sz w:val="15"/>
          <w:szCs w:val="15"/>
        </w:rPr>
        <w:t xml:space="preserve">  </w:t>
      </w:r>
      <w:r>
        <w:rPr>
          <w:rFonts w:hint="eastAsia"/>
          <w:sz w:val="15"/>
          <w:szCs w:val="15"/>
          <w:lang w:val="en-US" w:eastAsia="zh-CN"/>
        </w:rPr>
        <w:t>冀A41165D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