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冯红永</w:t>
      </w:r>
      <w:r>
        <w:rPr>
          <w:rFonts w:hint="eastAsia"/>
          <w:sz w:val="15"/>
          <w:szCs w:val="15"/>
          <w:highlight w:val="none"/>
        </w:rPr>
        <w:t>，</w:t>
      </w:r>
      <w:r>
        <w:rPr>
          <w:rFonts w:hint="eastAsia"/>
          <w:sz w:val="15"/>
          <w:szCs w:val="15"/>
          <w:highlight w:val="none"/>
          <w:lang w:val="en-US" w:eastAsia="zh-CN"/>
        </w:rPr>
        <w:t>130126198901222730</w:t>
      </w:r>
      <w:r>
        <w:rPr>
          <w:rFonts w:hint="eastAsia"/>
          <w:sz w:val="15"/>
          <w:szCs w:val="15"/>
        </w:rPr>
        <w:t xml:space="preserve">  </w:t>
      </w:r>
      <w:r>
        <w:rPr>
          <w:rFonts w:hint="eastAsia"/>
          <w:sz w:val="15"/>
          <w:szCs w:val="15"/>
          <w:lang w:val="en-US" w:eastAsia="zh-CN"/>
        </w:rPr>
        <w:t>冀AP2338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