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李成铁</w:t>
      </w:r>
      <w:r>
        <w:rPr>
          <w:rFonts w:hint="eastAsia"/>
          <w:sz w:val="15"/>
          <w:szCs w:val="15"/>
          <w:highlight w:val="none"/>
        </w:rPr>
        <w:t>，</w:t>
      </w:r>
      <w:r>
        <w:rPr>
          <w:rFonts w:hint="eastAsia"/>
          <w:sz w:val="15"/>
          <w:szCs w:val="15"/>
          <w:highlight w:val="none"/>
          <w:lang w:val="en-US" w:eastAsia="zh-CN"/>
        </w:rPr>
        <w:t>130126198811200933</w:t>
      </w:r>
      <w:r>
        <w:rPr>
          <w:rFonts w:hint="eastAsia"/>
          <w:sz w:val="15"/>
          <w:szCs w:val="15"/>
        </w:rPr>
        <w:t xml:space="preserve">  </w:t>
      </w:r>
      <w:r>
        <w:rPr>
          <w:rFonts w:hint="eastAsia"/>
          <w:sz w:val="15"/>
          <w:szCs w:val="15"/>
          <w:lang w:val="en-US" w:eastAsia="zh-CN"/>
        </w:rPr>
        <w:t>冀A783F2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