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赵昭</w:t>
      </w:r>
      <w:r>
        <w:rPr>
          <w:rFonts w:hint="eastAsia"/>
          <w:sz w:val="15"/>
          <w:szCs w:val="15"/>
          <w:highlight w:val="none"/>
        </w:rPr>
        <w:t>，</w:t>
      </w:r>
      <w:r>
        <w:rPr>
          <w:rFonts w:hint="eastAsia"/>
          <w:sz w:val="15"/>
          <w:szCs w:val="15"/>
          <w:highlight w:val="none"/>
          <w:lang w:val="en-US" w:eastAsia="zh-CN"/>
        </w:rPr>
        <w:t>13012619880404061X</w:t>
      </w:r>
      <w:r>
        <w:rPr>
          <w:rFonts w:hint="eastAsia"/>
          <w:sz w:val="15"/>
          <w:szCs w:val="15"/>
        </w:rPr>
        <w:t xml:space="preserve">  </w:t>
      </w:r>
      <w:r>
        <w:rPr>
          <w:rFonts w:hint="eastAsia"/>
          <w:sz w:val="15"/>
          <w:szCs w:val="15"/>
          <w:lang w:val="en-US" w:eastAsia="zh-CN"/>
        </w:rPr>
        <w:t>冀A39672D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