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付东亮</w:t>
      </w:r>
      <w:r>
        <w:rPr>
          <w:rFonts w:hint="eastAsia"/>
          <w:sz w:val="15"/>
          <w:szCs w:val="15"/>
          <w:highlight w:val="none"/>
        </w:rPr>
        <w:t>，</w:t>
      </w:r>
      <w:r>
        <w:rPr>
          <w:rFonts w:hint="eastAsia"/>
          <w:sz w:val="15"/>
          <w:szCs w:val="15"/>
          <w:highlight w:val="none"/>
          <w:lang w:val="en-US" w:eastAsia="zh-CN"/>
        </w:rPr>
        <w:t>130126198612061512</w:t>
      </w:r>
      <w:r>
        <w:rPr>
          <w:rFonts w:hint="eastAsia"/>
          <w:sz w:val="15"/>
          <w:szCs w:val="15"/>
        </w:rPr>
        <w:t xml:space="preserve">  </w:t>
      </w:r>
      <w:r>
        <w:rPr>
          <w:rFonts w:hint="eastAsia"/>
          <w:sz w:val="15"/>
          <w:szCs w:val="15"/>
          <w:lang w:val="en-US" w:eastAsia="zh-CN"/>
        </w:rPr>
        <w:t>冀A60055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