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郎志增</w:t>
      </w:r>
      <w:r>
        <w:rPr>
          <w:rFonts w:hint="eastAsia"/>
          <w:sz w:val="15"/>
          <w:szCs w:val="15"/>
          <w:highlight w:val="none"/>
        </w:rPr>
        <w:t>，</w:t>
      </w:r>
      <w:r>
        <w:rPr>
          <w:rFonts w:hint="eastAsia"/>
          <w:sz w:val="15"/>
          <w:szCs w:val="15"/>
          <w:highlight w:val="none"/>
          <w:lang w:val="en-US" w:eastAsia="zh-CN"/>
        </w:rPr>
        <w:t>130126198611092712</w:t>
      </w:r>
      <w:r>
        <w:rPr>
          <w:rFonts w:hint="eastAsia"/>
          <w:sz w:val="15"/>
          <w:szCs w:val="15"/>
        </w:rPr>
        <w:t xml:space="preserve">  </w:t>
      </w:r>
      <w:r>
        <w:rPr>
          <w:rFonts w:hint="eastAsia"/>
          <w:sz w:val="15"/>
          <w:szCs w:val="15"/>
          <w:lang w:val="en-US" w:eastAsia="zh-CN"/>
        </w:rPr>
        <w:t>沪A75331D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