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范玉廷</w:t>
      </w:r>
      <w:r>
        <w:rPr>
          <w:rFonts w:hint="eastAsia"/>
          <w:sz w:val="15"/>
          <w:szCs w:val="15"/>
          <w:highlight w:val="none"/>
        </w:rPr>
        <w:t>，</w:t>
      </w:r>
      <w:r>
        <w:rPr>
          <w:rFonts w:hint="eastAsia"/>
          <w:sz w:val="15"/>
          <w:szCs w:val="15"/>
          <w:highlight w:val="none"/>
          <w:lang w:val="en-US" w:eastAsia="zh-CN"/>
        </w:rPr>
        <w:t>130126198607271515</w:t>
      </w:r>
      <w:r>
        <w:rPr>
          <w:rFonts w:hint="eastAsia"/>
          <w:sz w:val="15"/>
          <w:szCs w:val="15"/>
        </w:rPr>
        <w:t xml:space="preserve">  </w:t>
      </w:r>
      <w:r>
        <w:rPr>
          <w:rFonts w:hint="eastAsia"/>
          <w:sz w:val="15"/>
          <w:szCs w:val="15"/>
          <w:lang w:val="en-US" w:eastAsia="zh-CN"/>
        </w:rPr>
        <w:t>冀AD2580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