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索光辉</w:t>
      </w:r>
      <w:r>
        <w:rPr>
          <w:rFonts w:hint="eastAsia"/>
          <w:sz w:val="15"/>
          <w:szCs w:val="15"/>
          <w:highlight w:val="none"/>
        </w:rPr>
        <w:t>，</w:t>
      </w:r>
      <w:r>
        <w:rPr>
          <w:rFonts w:hint="eastAsia"/>
          <w:sz w:val="15"/>
          <w:szCs w:val="15"/>
          <w:highlight w:val="none"/>
          <w:lang w:val="en-US" w:eastAsia="zh-CN"/>
        </w:rPr>
        <w:t>13012619860515303X</w:t>
      </w:r>
      <w:r>
        <w:rPr>
          <w:rFonts w:hint="eastAsia"/>
          <w:sz w:val="15"/>
          <w:szCs w:val="15"/>
        </w:rPr>
        <w:t xml:space="preserve">  </w:t>
      </w:r>
      <w:r>
        <w:rPr>
          <w:rFonts w:hint="eastAsia"/>
          <w:sz w:val="15"/>
          <w:szCs w:val="15"/>
          <w:lang w:val="en-US" w:eastAsia="zh-CN"/>
        </w:rPr>
        <w:t>冀AE7424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