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郝杰</w:t>
      </w:r>
      <w:r>
        <w:rPr>
          <w:rFonts w:hint="eastAsia"/>
          <w:sz w:val="15"/>
          <w:szCs w:val="15"/>
          <w:highlight w:val="none"/>
        </w:rPr>
        <w:t>，</w:t>
      </w:r>
      <w:r>
        <w:rPr>
          <w:rFonts w:hint="eastAsia"/>
          <w:sz w:val="15"/>
          <w:szCs w:val="15"/>
          <w:highlight w:val="none"/>
          <w:lang w:val="en-US" w:eastAsia="zh-CN"/>
        </w:rPr>
        <w:t>130126198308020919</w:t>
      </w:r>
      <w:r>
        <w:rPr>
          <w:rFonts w:hint="eastAsia"/>
          <w:sz w:val="15"/>
          <w:szCs w:val="15"/>
        </w:rPr>
        <w:t xml:space="preserve">  </w:t>
      </w:r>
      <w:r>
        <w:rPr>
          <w:rFonts w:hint="eastAsia"/>
          <w:sz w:val="15"/>
          <w:szCs w:val="15"/>
          <w:lang w:val="en-US" w:eastAsia="zh-CN"/>
        </w:rPr>
        <w:t>冀A09694D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