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张雷刚</w:t>
      </w:r>
      <w:r>
        <w:rPr>
          <w:rFonts w:hint="eastAsia"/>
          <w:sz w:val="15"/>
          <w:szCs w:val="15"/>
          <w:highlight w:val="none"/>
        </w:rPr>
        <w:t>，</w:t>
      </w:r>
      <w:r>
        <w:rPr>
          <w:rFonts w:hint="eastAsia"/>
          <w:sz w:val="15"/>
          <w:szCs w:val="15"/>
          <w:highlight w:val="none"/>
          <w:lang w:val="en-US" w:eastAsia="zh-CN"/>
        </w:rPr>
        <w:t>130126198305251519</w:t>
      </w:r>
      <w:r>
        <w:rPr>
          <w:rFonts w:hint="eastAsia"/>
          <w:sz w:val="15"/>
          <w:szCs w:val="15"/>
        </w:rPr>
        <w:t xml:space="preserve">  </w:t>
      </w:r>
      <w:r>
        <w:rPr>
          <w:rFonts w:hint="eastAsia"/>
          <w:sz w:val="15"/>
          <w:szCs w:val="15"/>
          <w:lang w:val="en-US" w:eastAsia="zh-CN"/>
        </w:rPr>
        <w:t>冀AM7952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