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刘海宝</w:t>
      </w:r>
      <w:r>
        <w:rPr>
          <w:rFonts w:hint="eastAsia"/>
          <w:sz w:val="15"/>
          <w:szCs w:val="15"/>
          <w:highlight w:val="none"/>
        </w:rPr>
        <w:t>，</w:t>
      </w:r>
      <w:r>
        <w:rPr>
          <w:rFonts w:hint="eastAsia"/>
          <w:sz w:val="15"/>
          <w:szCs w:val="15"/>
          <w:highlight w:val="none"/>
          <w:lang w:val="en-US" w:eastAsia="zh-CN"/>
        </w:rPr>
        <w:t>130126198202030959</w:t>
      </w:r>
      <w:r>
        <w:rPr>
          <w:rFonts w:hint="eastAsia"/>
          <w:sz w:val="15"/>
          <w:szCs w:val="15"/>
        </w:rPr>
        <w:t xml:space="preserve">  </w:t>
      </w:r>
      <w:r>
        <w:rPr>
          <w:rFonts w:hint="eastAsia"/>
          <w:sz w:val="15"/>
          <w:szCs w:val="15"/>
          <w:lang w:val="en-US" w:eastAsia="zh-CN"/>
        </w:rPr>
        <w:t>冀A62U64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