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温科</w:t>
      </w:r>
      <w:r>
        <w:rPr>
          <w:rFonts w:hint="eastAsia"/>
          <w:sz w:val="15"/>
          <w:szCs w:val="15"/>
          <w:highlight w:val="none"/>
        </w:rPr>
        <w:t>，</w:t>
      </w:r>
      <w:r>
        <w:rPr>
          <w:rFonts w:hint="eastAsia"/>
          <w:sz w:val="15"/>
          <w:szCs w:val="15"/>
          <w:highlight w:val="none"/>
          <w:lang w:val="en-US" w:eastAsia="zh-CN"/>
        </w:rPr>
        <w:t>130125198811207514</w:t>
      </w:r>
      <w:r>
        <w:rPr>
          <w:rFonts w:hint="eastAsia"/>
          <w:sz w:val="15"/>
          <w:szCs w:val="15"/>
        </w:rPr>
        <w:t xml:space="preserve">  </w:t>
      </w:r>
      <w:r>
        <w:rPr>
          <w:rFonts w:hint="eastAsia"/>
          <w:sz w:val="15"/>
          <w:szCs w:val="15"/>
          <w:lang w:val="en-US" w:eastAsia="zh-CN"/>
        </w:rPr>
        <w:t>冀A09D16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