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孙会斌</w:t>
      </w:r>
      <w:r>
        <w:rPr>
          <w:rFonts w:hint="eastAsia"/>
          <w:sz w:val="15"/>
          <w:szCs w:val="15"/>
          <w:highlight w:val="none"/>
        </w:rPr>
        <w:t>，</w:t>
      </w:r>
      <w:r>
        <w:rPr>
          <w:rFonts w:hint="eastAsia"/>
          <w:sz w:val="15"/>
          <w:szCs w:val="15"/>
          <w:highlight w:val="none"/>
          <w:lang w:val="en-US" w:eastAsia="zh-CN"/>
        </w:rPr>
        <w:t>130125198612203510</w:t>
      </w:r>
      <w:r>
        <w:rPr>
          <w:rFonts w:hint="eastAsia"/>
          <w:sz w:val="15"/>
          <w:szCs w:val="15"/>
        </w:rPr>
        <w:t xml:space="preserve">  </w:t>
      </w:r>
      <w:r>
        <w:rPr>
          <w:rFonts w:hint="eastAsia"/>
          <w:sz w:val="15"/>
          <w:szCs w:val="15"/>
          <w:lang w:val="en-US" w:eastAsia="zh-CN"/>
        </w:rPr>
        <w:t>冀A2762Z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