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张帆</w:t>
      </w:r>
      <w:r>
        <w:rPr>
          <w:rFonts w:hint="eastAsia"/>
          <w:sz w:val="15"/>
          <w:szCs w:val="15"/>
          <w:highlight w:val="none"/>
        </w:rPr>
        <w:t>，</w:t>
      </w:r>
      <w:r>
        <w:rPr>
          <w:rFonts w:hint="eastAsia"/>
          <w:sz w:val="15"/>
          <w:szCs w:val="15"/>
          <w:highlight w:val="none"/>
          <w:lang w:val="en-US" w:eastAsia="zh-CN"/>
        </w:rPr>
        <w:t>130125198410166512</w:t>
      </w:r>
      <w:r>
        <w:rPr>
          <w:rFonts w:hint="eastAsia"/>
          <w:sz w:val="15"/>
          <w:szCs w:val="15"/>
        </w:rPr>
        <w:t xml:space="preserve">  </w:t>
      </w:r>
      <w:r>
        <w:rPr>
          <w:rFonts w:hint="eastAsia"/>
          <w:sz w:val="15"/>
          <w:szCs w:val="15"/>
          <w:lang w:val="en-US" w:eastAsia="zh-CN"/>
        </w:rPr>
        <w:t>冀AF8288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