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陈强</w:t>
      </w:r>
      <w:r>
        <w:rPr>
          <w:rFonts w:hint="eastAsia"/>
          <w:sz w:val="15"/>
          <w:szCs w:val="15"/>
          <w:highlight w:val="none"/>
        </w:rPr>
        <w:t>，</w:t>
      </w:r>
      <w:r>
        <w:rPr>
          <w:rFonts w:hint="eastAsia"/>
          <w:sz w:val="15"/>
          <w:szCs w:val="15"/>
          <w:highlight w:val="none"/>
          <w:lang w:val="en-US" w:eastAsia="zh-CN"/>
        </w:rPr>
        <w:t>13012319860205001X</w:t>
      </w:r>
      <w:r>
        <w:rPr>
          <w:rFonts w:hint="eastAsia"/>
          <w:sz w:val="15"/>
          <w:szCs w:val="15"/>
        </w:rPr>
        <w:t xml:space="preserve">  </w:t>
      </w:r>
      <w:r>
        <w:rPr>
          <w:rFonts w:hint="eastAsia"/>
          <w:sz w:val="15"/>
          <w:szCs w:val="15"/>
          <w:lang w:val="en-US" w:eastAsia="zh-CN"/>
        </w:rPr>
        <w:t>冀A227AJ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