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甄小龙</w:t>
      </w:r>
      <w:r>
        <w:rPr>
          <w:rFonts w:hint="eastAsia"/>
          <w:sz w:val="15"/>
          <w:szCs w:val="15"/>
          <w:highlight w:val="none"/>
        </w:rPr>
        <w:t>，</w:t>
      </w:r>
      <w:r>
        <w:rPr>
          <w:rFonts w:hint="eastAsia"/>
          <w:sz w:val="15"/>
          <w:szCs w:val="15"/>
          <w:highlight w:val="none"/>
          <w:lang w:val="en-US" w:eastAsia="zh-CN"/>
        </w:rPr>
        <w:t>130123198504133911</w:t>
      </w:r>
      <w:r>
        <w:rPr>
          <w:rFonts w:hint="eastAsia"/>
          <w:sz w:val="15"/>
          <w:szCs w:val="15"/>
        </w:rPr>
        <w:t xml:space="preserve">  </w:t>
      </w:r>
      <w:r>
        <w:rPr>
          <w:rFonts w:hint="eastAsia"/>
          <w:sz w:val="15"/>
          <w:szCs w:val="15"/>
          <w:lang w:val="en-US" w:eastAsia="zh-CN"/>
        </w:rPr>
        <w:t>冀A01408D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