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梁丽锋</w:t>
      </w:r>
      <w:r>
        <w:rPr>
          <w:rFonts w:hint="eastAsia"/>
          <w:sz w:val="15"/>
          <w:szCs w:val="15"/>
          <w:highlight w:val="none"/>
        </w:rPr>
        <w:t>，</w:t>
      </w:r>
      <w:r>
        <w:rPr>
          <w:rFonts w:hint="eastAsia"/>
          <w:sz w:val="15"/>
          <w:szCs w:val="15"/>
          <w:highlight w:val="none"/>
          <w:lang w:val="en-US" w:eastAsia="zh-CN"/>
        </w:rPr>
        <w:t>130123198209163915</w:t>
      </w:r>
      <w:r>
        <w:rPr>
          <w:rFonts w:hint="eastAsia"/>
          <w:sz w:val="15"/>
          <w:szCs w:val="15"/>
        </w:rPr>
        <w:t xml:space="preserve">  </w:t>
      </w:r>
      <w:r>
        <w:rPr>
          <w:rFonts w:hint="eastAsia"/>
          <w:sz w:val="15"/>
          <w:szCs w:val="15"/>
          <w:lang w:val="en-US" w:eastAsia="zh-CN"/>
        </w:rPr>
        <w:t>冀A91702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