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赵永昆</w:t>
      </w:r>
      <w:r>
        <w:rPr>
          <w:rFonts w:hint="eastAsia"/>
          <w:sz w:val="15"/>
          <w:szCs w:val="15"/>
          <w:highlight w:val="none"/>
        </w:rPr>
        <w:t>，</w:t>
      </w:r>
      <w:r>
        <w:rPr>
          <w:rFonts w:hint="eastAsia"/>
          <w:sz w:val="15"/>
          <w:szCs w:val="15"/>
          <w:highlight w:val="none"/>
          <w:lang w:val="en-US" w:eastAsia="zh-CN"/>
        </w:rPr>
        <w:t>130123198201025470</w:t>
      </w:r>
      <w:r>
        <w:rPr>
          <w:rFonts w:hint="eastAsia"/>
          <w:sz w:val="15"/>
          <w:szCs w:val="15"/>
        </w:rPr>
        <w:t xml:space="preserve">  </w:t>
      </w:r>
      <w:r>
        <w:rPr>
          <w:rFonts w:hint="eastAsia"/>
          <w:sz w:val="15"/>
          <w:szCs w:val="15"/>
          <w:lang w:val="en-US" w:eastAsia="zh-CN"/>
        </w:rPr>
        <w:t>冀A000ZZ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