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朱建伟</w:t>
      </w:r>
      <w:r>
        <w:rPr>
          <w:rFonts w:hint="eastAsia"/>
          <w:sz w:val="15"/>
          <w:szCs w:val="15"/>
          <w:highlight w:val="none"/>
        </w:rPr>
        <w:t>，</w:t>
      </w:r>
      <w:r>
        <w:rPr>
          <w:rFonts w:hint="eastAsia"/>
          <w:sz w:val="15"/>
          <w:szCs w:val="15"/>
          <w:highlight w:val="none"/>
          <w:lang w:val="en-US" w:eastAsia="zh-CN"/>
        </w:rPr>
        <w:t>130123198105292712</w:t>
      </w:r>
      <w:r>
        <w:rPr>
          <w:rFonts w:hint="eastAsia"/>
          <w:sz w:val="15"/>
          <w:szCs w:val="15"/>
        </w:rPr>
        <w:t xml:space="preserve">  </w:t>
      </w:r>
      <w:r>
        <w:rPr>
          <w:rFonts w:hint="eastAsia"/>
          <w:sz w:val="15"/>
          <w:szCs w:val="15"/>
          <w:lang w:val="en-US" w:eastAsia="zh-CN"/>
        </w:rPr>
        <w:t>冀AV5735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