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贾晓玉</w:t>
      </w:r>
      <w:r>
        <w:rPr>
          <w:rFonts w:hint="eastAsia"/>
          <w:sz w:val="15"/>
          <w:szCs w:val="15"/>
          <w:highlight w:val="none"/>
        </w:rPr>
        <w:t>，</w:t>
      </w:r>
      <w:r>
        <w:rPr>
          <w:rFonts w:hint="eastAsia"/>
          <w:sz w:val="15"/>
          <w:szCs w:val="15"/>
          <w:highlight w:val="none"/>
          <w:lang w:val="en-US" w:eastAsia="zh-CN"/>
        </w:rPr>
        <w:t>130123198105084526</w:t>
      </w:r>
      <w:r>
        <w:rPr>
          <w:rFonts w:hint="eastAsia"/>
          <w:sz w:val="15"/>
          <w:szCs w:val="15"/>
        </w:rPr>
        <w:t xml:space="preserve">  </w:t>
      </w:r>
      <w:r>
        <w:rPr>
          <w:rFonts w:hint="eastAsia"/>
          <w:sz w:val="15"/>
          <w:szCs w:val="15"/>
          <w:lang w:val="en-US" w:eastAsia="zh-CN"/>
        </w:rPr>
        <w:t>冀AMF316</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