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徐伟杰</w:t>
      </w:r>
      <w:r>
        <w:rPr>
          <w:rFonts w:hint="eastAsia"/>
          <w:sz w:val="15"/>
          <w:szCs w:val="15"/>
          <w:highlight w:val="none"/>
        </w:rPr>
        <w:t>，</w:t>
      </w:r>
      <w:r>
        <w:rPr>
          <w:rFonts w:hint="eastAsia"/>
          <w:sz w:val="15"/>
          <w:szCs w:val="15"/>
          <w:highlight w:val="none"/>
          <w:lang w:val="en-US" w:eastAsia="zh-CN"/>
        </w:rPr>
        <w:t>130123198010172718</w:t>
      </w:r>
      <w:r>
        <w:rPr>
          <w:rFonts w:hint="eastAsia"/>
          <w:sz w:val="15"/>
          <w:szCs w:val="15"/>
        </w:rPr>
        <w:t xml:space="preserve">  </w:t>
      </w:r>
      <w:r>
        <w:rPr>
          <w:rFonts w:hint="eastAsia"/>
          <w:sz w:val="15"/>
          <w:szCs w:val="15"/>
          <w:lang w:val="en-US" w:eastAsia="zh-CN"/>
        </w:rPr>
        <w:t>冀ABD476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