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冯丽锋</w:t>
      </w:r>
      <w:r>
        <w:rPr>
          <w:rFonts w:hint="eastAsia"/>
          <w:sz w:val="15"/>
          <w:szCs w:val="15"/>
          <w:highlight w:val="none"/>
        </w:rPr>
        <w:t>，</w:t>
      </w:r>
      <w:r>
        <w:rPr>
          <w:rFonts w:hint="eastAsia"/>
          <w:sz w:val="15"/>
          <w:szCs w:val="15"/>
          <w:highlight w:val="none"/>
          <w:lang w:val="en-US" w:eastAsia="zh-CN"/>
        </w:rPr>
        <w:t>130123198005145715</w:t>
      </w:r>
      <w:r>
        <w:rPr>
          <w:rFonts w:hint="eastAsia"/>
          <w:sz w:val="15"/>
          <w:szCs w:val="15"/>
        </w:rPr>
        <w:t xml:space="preserve">  </w:t>
      </w:r>
      <w:r>
        <w:rPr>
          <w:rFonts w:hint="eastAsia"/>
          <w:sz w:val="15"/>
          <w:szCs w:val="15"/>
          <w:lang w:val="en-US" w:eastAsia="zh-CN"/>
        </w:rPr>
        <w:t>冀AXW398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