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段银锋</w:t>
      </w:r>
      <w:r>
        <w:rPr>
          <w:rFonts w:hint="eastAsia"/>
          <w:sz w:val="15"/>
          <w:szCs w:val="15"/>
          <w:highlight w:val="none"/>
        </w:rPr>
        <w:t>，</w:t>
      </w:r>
      <w:r>
        <w:rPr>
          <w:rFonts w:hint="eastAsia"/>
          <w:sz w:val="15"/>
          <w:szCs w:val="15"/>
          <w:highlight w:val="none"/>
          <w:lang w:val="en-US" w:eastAsia="zh-CN"/>
        </w:rPr>
        <w:t>130123197903243937</w:t>
      </w:r>
      <w:r>
        <w:rPr>
          <w:rFonts w:hint="eastAsia"/>
          <w:sz w:val="15"/>
          <w:szCs w:val="15"/>
        </w:rPr>
        <w:t xml:space="preserve">  </w:t>
      </w:r>
      <w:r>
        <w:rPr>
          <w:rFonts w:hint="eastAsia"/>
          <w:sz w:val="15"/>
          <w:szCs w:val="15"/>
          <w:lang w:val="en-US" w:eastAsia="zh-CN"/>
        </w:rPr>
        <w:t>冀A868EZ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