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崔拥刚</w:t>
      </w:r>
      <w:r>
        <w:rPr>
          <w:rFonts w:hint="eastAsia"/>
          <w:sz w:val="15"/>
          <w:szCs w:val="15"/>
          <w:highlight w:val="none"/>
        </w:rPr>
        <w:t>，</w:t>
      </w:r>
      <w:r>
        <w:rPr>
          <w:rFonts w:hint="eastAsia"/>
          <w:sz w:val="15"/>
          <w:szCs w:val="15"/>
          <w:highlight w:val="none"/>
          <w:lang w:val="en-US" w:eastAsia="zh-CN"/>
        </w:rPr>
        <w:t>130123197212192413</w:t>
      </w:r>
      <w:r>
        <w:rPr>
          <w:rFonts w:hint="eastAsia"/>
          <w:sz w:val="15"/>
          <w:szCs w:val="15"/>
        </w:rPr>
        <w:t xml:space="preserve">  </w:t>
      </w:r>
      <w:r>
        <w:rPr>
          <w:rFonts w:hint="eastAsia"/>
          <w:sz w:val="15"/>
          <w:szCs w:val="15"/>
          <w:lang w:val="en-US" w:eastAsia="zh-CN"/>
        </w:rPr>
        <w:t>冀AKZ147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